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59F" w:rsidRPr="001C359F" w:rsidRDefault="001C359F" w:rsidP="001C359F">
      <w:pPr>
        <w:pBdr>
          <w:top w:val="single" w:sz="4" w:space="1" w:color="auto"/>
          <w:left w:val="single" w:sz="4" w:space="4" w:color="auto"/>
          <w:bottom w:val="single" w:sz="4" w:space="1" w:color="auto"/>
          <w:right w:val="single" w:sz="4" w:space="4" w:color="auto"/>
        </w:pBdr>
        <w:jc w:val="center"/>
      </w:pPr>
      <w:bookmarkStart w:id="0" w:name="_GoBack"/>
      <w:bookmarkEnd w:id="0"/>
      <w:r w:rsidRPr="001C359F">
        <w:t>RETRIBUTIEREGLEMENT  - BKO ROEFELS</w:t>
      </w:r>
    </w:p>
    <w:p w:rsidR="001C359F" w:rsidRDefault="001C359F" w:rsidP="001C359F">
      <w:pPr>
        <w:rPr>
          <w:u w:val="single"/>
        </w:rPr>
      </w:pPr>
    </w:p>
    <w:p w:rsidR="001C359F" w:rsidRPr="005A7C16" w:rsidRDefault="001C359F" w:rsidP="001C359F">
      <w:pPr>
        <w:rPr>
          <w:u w:val="single"/>
        </w:rPr>
      </w:pPr>
      <w:r w:rsidRPr="005A7C16">
        <w:rPr>
          <w:u w:val="single"/>
        </w:rPr>
        <w:t>Artikel 1</w:t>
      </w:r>
    </w:p>
    <w:p w:rsidR="001C359F" w:rsidRPr="005A7C16" w:rsidRDefault="001C359F" w:rsidP="001C359F">
      <w:pPr>
        <w:jc w:val="both"/>
      </w:pPr>
      <w:r w:rsidRPr="005A7C16">
        <w:t xml:space="preserve">Met ingang van heden, voor een termijn eindigend op 31 december 2019 wordt ten behoeve van de gemeente onder de navolgende voorwaarden de retributie geheven op de opvang van kinderen op de buitenschoolse kinderopvang. Deze retributie is verschuldigd door de  ouders van het opgevangen kind. </w:t>
      </w:r>
    </w:p>
    <w:p w:rsidR="001C359F" w:rsidRPr="005A7C16" w:rsidRDefault="001C359F" w:rsidP="001C359F"/>
    <w:p w:rsidR="001C359F" w:rsidRPr="005A7C16" w:rsidRDefault="001C359F" w:rsidP="001C359F">
      <w:pPr>
        <w:rPr>
          <w:u w:val="single"/>
        </w:rPr>
      </w:pPr>
      <w:r w:rsidRPr="005A7C16">
        <w:rPr>
          <w:u w:val="single"/>
        </w:rPr>
        <w:t>Artikel 2</w:t>
      </w:r>
    </w:p>
    <w:p w:rsidR="001C359F" w:rsidRPr="005A7C16" w:rsidRDefault="001C359F" w:rsidP="001C359F">
      <w:r w:rsidRPr="005A7C16">
        <w:t xml:space="preserve">Het </w:t>
      </w:r>
      <w:r>
        <w:t xml:space="preserve">bedrag van de retributie wordt </w:t>
      </w:r>
      <w:r w:rsidRPr="005A7C16">
        <w:t>als volgt bepaald:</w:t>
      </w:r>
    </w:p>
    <w:p w:rsidR="001C359F" w:rsidRPr="005A7C16" w:rsidRDefault="001C359F" w:rsidP="001C359F"/>
    <w:p w:rsidR="001C359F" w:rsidRPr="005A7C16" w:rsidRDefault="001C359F" w:rsidP="001C359F">
      <w:pPr>
        <w:numPr>
          <w:ilvl w:val="5"/>
          <w:numId w:val="0"/>
        </w:numPr>
        <w:overflowPunct w:val="0"/>
        <w:autoSpaceDE w:val="0"/>
        <w:autoSpaceDN w:val="0"/>
        <w:adjustRightInd w:val="0"/>
        <w:spacing w:before="120"/>
        <w:jc w:val="both"/>
        <w:textAlignment w:val="baseline"/>
        <w:rPr>
          <w:rFonts w:cs="Gautami"/>
          <w:szCs w:val="20"/>
        </w:rPr>
      </w:pPr>
      <w:r w:rsidRPr="005A7C16">
        <w:rPr>
          <w:rFonts w:cs="Gautami"/>
          <w:szCs w:val="20"/>
        </w:rPr>
        <w:t xml:space="preserve">2.1.Overzicht van de financiële bijdrage van de gezinnen </w:t>
      </w:r>
    </w:p>
    <w:tbl>
      <w:tblPr>
        <w:tblW w:w="9072"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94"/>
        <w:gridCol w:w="2693"/>
        <w:gridCol w:w="3685"/>
      </w:tblGrid>
      <w:tr w:rsidR="001C359F" w:rsidRPr="005A7C16" w:rsidTr="006657D2">
        <w:tc>
          <w:tcPr>
            <w:tcW w:w="2694" w:type="dxa"/>
            <w:tcBorders>
              <w:bottom w:val="single" w:sz="4" w:space="0" w:color="auto"/>
              <w:right w:val="single" w:sz="4" w:space="0" w:color="auto"/>
            </w:tcBorders>
          </w:tcPr>
          <w:p w:rsidR="001C359F" w:rsidRPr="005A7C16" w:rsidRDefault="001C359F" w:rsidP="006657D2">
            <w:pPr>
              <w:numPr>
                <w:ilvl w:val="5"/>
                <w:numId w:val="0"/>
              </w:numPr>
              <w:overflowPunct w:val="0"/>
              <w:autoSpaceDE w:val="0"/>
              <w:autoSpaceDN w:val="0"/>
              <w:adjustRightInd w:val="0"/>
              <w:spacing w:before="120"/>
              <w:jc w:val="both"/>
              <w:textAlignment w:val="baseline"/>
              <w:rPr>
                <w:rFonts w:cs="Gautami"/>
                <w:szCs w:val="20"/>
              </w:rPr>
            </w:pPr>
          </w:p>
        </w:tc>
        <w:tc>
          <w:tcPr>
            <w:tcW w:w="2693" w:type="dxa"/>
            <w:tcBorders>
              <w:bottom w:val="single" w:sz="4" w:space="0" w:color="auto"/>
              <w:right w:val="single" w:sz="4" w:space="0" w:color="auto"/>
            </w:tcBorders>
          </w:tcPr>
          <w:p w:rsidR="001C359F" w:rsidRPr="005A7C16" w:rsidRDefault="001C359F" w:rsidP="006657D2">
            <w:pPr>
              <w:numPr>
                <w:ilvl w:val="5"/>
                <w:numId w:val="0"/>
              </w:numPr>
              <w:overflowPunct w:val="0"/>
              <w:autoSpaceDE w:val="0"/>
              <w:autoSpaceDN w:val="0"/>
              <w:adjustRightInd w:val="0"/>
              <w:spacing w:before="120"/>
              <w:jc w:val="both"/>
              <w:textAlignment w:val="baseline"/>
              <w:rPr>
                <w:rFonts w:cs="Gautami"/>
                <w:szCs w:val="20"/>
              </w:rPr>
            </w:pPr>
            <w:r w:rsidRPr="005A7C16">
              <w:rPr>
                <w:rFonts w:cs="Gautami"/>
                <w:szCs w:val="20"/>
              </w:rPr>
              <w:t>1ste kind</w:t>
            </w:r>
          </w:p>
        </w:tc>
        <w:tc>
          <w:tcPr>
            <w:tcW w:w="3685" w:type="dxa"/>
            <w:tcBorders>
              <w:bottom w:val="single" w:sz="4" w:space="0" w:color="auto"/>
            </w:tcBorders>
          </w:tcPr>
          <w:p w:rsidR="001C359F" w:rsidRPr="005A7C16" w:rsidRDefault="001C359F" w:rsidP="006657D2">
            <w:pPr>
              <w:numPr>
                <w:ilvl w:val="5"/>
                <w:numId w:val="0"/>
              </w:numPr>
              <w:overflowPunct w:val="0"/>
              <w:autoSpaceDE w:val="0"/>
              <w:autoSpaceDN w:val="0"/>
              <w:adjustRightInd w:val="0"/>
              <w:spacing w:before="120"/>
              <w:jc w:val="both"/>
              <w:textAlignment w:val="baseline"/>
              <w:rPr>
                <w:rFonts w:cs="Gautami"/>
                <w:szCs w:val="20"/>
              </w:rPr>
            </w:pPr>
            <w:r w:rsidRPr="005A7C16">
              <w:rPr>
                <w:rFonts w:cs="Gautami"/>
                <w:szCs w:val="20"/>
              </w:rPr>
              <w:t xml:space="preserve">vanaf 2 kinderen </w:t>
            </w:r>
          </w:p>
        </w:tc>
      </w:tr>
      <w:tr w:rsidR="001C359F" w:rsidRPr="005A7C16" w:rsidTr="006657D2">
        <w:trPr>
          <w:cantSplit/>
        </w:trPr>
        <w:tc>
          <w:tcPr>
            <w:tcW w:w="2694" w:type="dxa"/>
            <w:tcBorders>
              <w:bottom w:val="single" w:sz="4" w:space="0" w:color="auto"/>
              <w:right w:val="single" w:sz="4" w:space="0" w:color="auto"/>
            </w:tcBorders>
          </w:tcPr>
          <w:p w:rsidR="001C359F" w:rsidRPr="005A7C16" w:rsidRDefault="001C359F" w:rsidP="006657D2">
            <w:pPr>
              <w:numPr>
                <w:ilvl w:val="5"/>
                <w:numId w:val="0"/>
              </w:numPr>
              <w:overflowPunct w:val="0"/>
              <w:autoSpaceDE w:val="0"/>
              <w:autoSpaceDN w:val="0"/>
              <w:adjustRightInd w:val="0"/>
              <w:spacing w:before="120"/>
              <w:jc w:val="both"/>
              <w:textAlignment w:val="baseline"/>
              <w:rPr>
                <w:rFonts w:cs="Gautami"/>
                <w:szCs w:val="20"/>
              </w:rPr>
            </w:pPr>
            <w:r w:rsidRPr="005A7C16">
              <w:rPr>
                <w:rFonts w:cs="Gautami"/>
                <w:szCs w:val="20"/>
              </w:rPr>
              <w:t>Voor en na school</w:t>
            </w:r>
          </w:p>
          <w:p w:rsidR="001C359F" w:rsidRPr="005A7C16" w:rsidRDefault="001C359F" w:rsidP="006657D2">
            <w:pPr>
              <w:numPr>
                <w:ilvl w:val="5"/>
                <w:numId w:val="0"/>
              </w:numPr>
              <w:overflowPunct w:val="0"/>
              <w:autoSpaceDE w:val="0"/>
              <w:autoSpaceDN w:val="0"/>
              <w:adjustRightInd w:val="0"/>
              <w:spacing w:before="120"/>
              <w:jc w:val="both"/>
              <w:textAlignment w:val="baseline"/>
              <w:rPr>
                <w:rFonts w:cs="Gautami"/>
                <w:szCs w:val="20"/>
              </w:rPr>
            </w:pPr>
          </w:p>
        </w:tc>
        <w:tc>
          <w:tcPr>
            <w:tcW w:w="2693" w:type="dxa"/>
            <w:tcBorders>
              <w:bottom w:val="single" w:sz="4" w:space="0" w:color="auto"/>
              <w:right w:val="single" w:sz="4" w:space="0" w:color="auto"/>
            </w:tcBorders>
          </w:tcPr>
          <w:p w:rsidR="001C359F" w:rsidRPr="005A7C16" w:rsidRDefault="001C359F" w:rsidP="006657D2">
            <w:pPr>
              <w:numPr>
                <w:ilvl w:val="5"/>
                <w:numId w:val="0"/>
              </w:numPr>
              <w:overflowPunct w:val="0"/>
              <w:autoSpaceDE w:val="0"/>
              <w:autoSpaceDN w:val="0"/>
              <w:adjustRightInd w:val="0"/>
              <w:spacing w:before="120"/>
              <w:jc w:val="both"/>
              <w:textAlignment w:val="baseline"/>
              <w:rPr>
                <w:rFonts w:cs="Gautami"/>
                <w:szCs w:val="20"/>
              </w:rPr>
            </w:pPr>
            <w:r w:rsidRPr="005A7C16">
              <w:rPr>
                <w:rFonts w:cs="Gautami"/>
                <w:szCs w:val="20"/>
              </w:rPr>
              <w:t>1,20 euro</w:t>
            </w:r>
          </w:p>
          <w:p w:rsidR="001C359F" w:rsidRPr="005A7C16" w:rsidRDefault="001C359F" w:rsidP="006657D2">
            <w:pPr>
              <w:numPr>
                <w:ilvl w:val="5"/>
                <w:numId w:val="0"/>
              </w:numPr>
              <w:overflowPunct w:val="0"/>
              <w:autoSpaceDE w:val="0"/>
              <w:autoSpaceDN w:val="0"/>
              <w:adjustRightInd w:val="0"/>
              <w:spacing w:before="120"/>
              <w:jc w:val="both"/>
              <w:textAlignment w:val="baseline"/>
              <w:rPr>
                <w:rFonts w:cs="Gautami"/>
                <w:szCs w:val="20"/>
              </w:rPr>
            </w:pPr>
            <w:r w:rsidRPr="005A7C16">
              <w:rPr>
                <w:rFonts w:cs="Gautami"/>
                <w:szCs w:val="20"/>
              </w:rPr>
              <w:t>per begonnen halfuur</w:t>
            </w:r>
          </w:p>
        </w:tc>
        <w:tc>
          <w:tcPr>
            <w:tcW w:w="3685" w:type="dxa"/>
            <w:vMerge w:val="restart"/>
          </w:tcPr>
          <w:p w:rsidR="001C359F" w:rsidRPr="005A7C16" w:rsidRDefault="001C359F" w:rsidP="006657D2">
            <w:pPr>
              <w:numPr>
                <w:ilvl w:val="5"/>
                <w:numId w:val="0"/>
              </w:numPr>
              <w:overflowPunct w:val="0"/>
              <w:autoSpaceDE w:val="0"/>
              <w:autoSpaceDN w:val="0"/>
              <w:adjustRightInd w:val="0"/>
              <w:spacing w:before="120"/>
              <w:jc w:val="both"/>
              <w:textAlignment w:val="baseline"/>
              <w:rPr>
                <w:rFonts w:cs="Gautami"/>
                <w:szCs w:val="20"/>
              </w:rPr>
            </w:pPr>
            <w:r w:rsidRPr="005A7C16">
              <w:rPr>
                <w:rFonts w:cs="Gautami"/>
                <w:szCs w:val="20"/>
              </w:rPr>
              <w:t>Bij gelijktijdige opvang van kinderen uit hetzelfde gezin</w:t>
            </w:r>
          </w:p>
          <w:p w:rsidR="001C359F" w:rsidRPr="005A7C16" w:rsidRDefault="001C359F" w:rsidP="006657D2">
            <w:pPr>
              <w:numPr>
                <w:ilvl w:val="5"/>
                <w:numId w:val="0"/>
              </w:numPr>
              <w:overflowPunct w:val="0"/>
              <w:autoSpaceDE w:val="0"/>
              <w:autoSpaceDN w:val="0"/>
              <w:adjustRightInd w:val="0"/>
              <w:spacing w:before="120"/>
              <w:jc w:val="both"/>
              <w:textAlignment w:val="baseline"/>
              <w:rPr>
                <w:rFonts w:cs="Gautami"/>
                <w:szCs w:val="20"/>
              </w:rPr>
            </w:pPr>
            <w:r w:rsidRPr="005A7C16">
              <w:rPr>
                <w:rFonts w:cs="Gautami"/>
                <w:szCs w:val="20"/>
              </w:rPr>
              <w:t xml:space="preserve"> wordt 25% korting verleend op de volledige bijdrage</w:t>
            </w:r>
          </w:p>
          <w:p w:rsidR="001C359F" w:rsidRPr="005A7C16" w:rsidRDefault="001C359F" w:rsidP="006657D2">
            <w:pPr>
              <w:numPr>
                <w:ilvl w:val="5"/>
                <w:numId w:val="0"/>
              </w:numPr>
              <w:overflowPunct w:val="0"/>
              <w:autoSpaceDE w:val="0"/>
              <w:autoSpaceDN w:val="0"/>
              <w:adjustRightInd w:val="0"/>
              <w:spacing w:before="120"/>
              <w:jc w:val="both"/>
              <w:textAlignment w:val="baseline"/>
              <w:rPr>
                <w:rFonts w:cs="Gautami"/>
                <w:strike/>
                <w:szCs w:val="20"/>
              </w:rPr>
            </w:pPr>
          </w:p>
          <w:p w:rsidR="001C359F" w:rsidRPr="005A7C16" w:rsidRDefault="001C359F" w:rsidP="006657D2">
            <w:pPr>
              <w:numPr>
                <w:ilvl w:val="5"/>
                <w:numId w:val="0"/>
              </w:numPr>
              <w:overflowPunct w:val="0"/>
              <w:autoSpaceDE w:val="0"/>
              <w:autoSpaceDN w:val="0"/>
              <w:adjustRightInd w:val="0"/>
              <w:spacing w:before="120"/>
              <w:jc w:val="both"/>
              <w:textAlignment w:val="baseline"/>
              <w:rPr>
                <w:rFonts w:cs="Gautami"/>
                <w:strike/>
                <w:szCs w:val="20"/>
              </w:rPr>
            </w:pPr>
          </w:p>
          <w:p w:rsidR="001C359F" w:rsidRPr="005A7C16" w:rsidRDefault="001C359F" w:rsidP="006657D2">
            <w:pPr>
              <w:numPr>
                <w:ilvl w:val="5"/>
                <w:numId w:val="0"/>
              </w:numPr>
              <w:overflowPunct w:val="0"/>
              <w:autoSpaceDE w:val="0"/>
              <w:autoSpaceDN w:val="0"/>
              <w:adjustRightInd w:val="0"/>
              <w:spacing w:before="120"/>
              <w:jc w:val="both"/>
              <w:textAlignment w:val="baseline"/>
              <w:rPr>
                <w:rFonts w:cs="Gautami"/>
                <w:szCs w:val="20"/>
              </w:rPr>
            </w:pPr>
            <w:r w:rsidRPr="005A7C16">
              <w:rPr>
                <w:rFonts w:cs="Gautami"/>
                <w:szCs w:val="20"/>
              </w:rPr>
              <w:tab/>
            </w:r>
          </w:p>
          <w:p w:rsidR="001C359F" w:rsidRPr="005A7C16" w:rsidRDefault="001C359F" w:rsidP="006657D2">
            <w:pPr>
              <w:numPr>
                <w:ilvl w:val="5"/>
                <w:numId w:val="0"/>
              </w:numPr>
              <w:overflowPunct w:val="0"/>
              <w:autoSpaceDE w:val="0"/>
              <w:autoSpaceDN w:val="0"/>
              <w:adjustRightInd w:val="0"/>
              <w:spacing w:before="120"/>
              <w:jc w:val="both"/>
              <w:textAlignment w:val="baseline"/>
              <w:rPr>
                <w:rFonts w:cs="Gautami"/>
                <w:szCs w:val="20"/>
              </w:rPr>
            </w:pPr>
          </w:p>
        </w:tc>
      </w:tr>
      <w:tr w:rsidR="001C359F" w:rsidRPr="005A7C16" w:rsidTr="006657D2">
        <w:trPr>
          <w:cantSplit/>
        </w:trPr>
        <w:tc>
          <w:tcPr>
            <w:tcW w:w="2694" w:type="dxa"/>
            <w:tcBorders>
              <w:bottom w:val="nil"/>
              <w:right w:val="single" w:sz="4" w:space="0" w:color="auto"/>
            </w:tcBorders>
          </w:tcPr>
          <w:p w:rsidR="001C359F" w:rsidRPr="005A7C16" w:rsidRDefault="001C359F" w:rsidP="006657D2">
            <w:pPr>
              <w:numPr>
                <w:ilvl w:val="5"/>
                <w:numId w:val="0"/>
              </w:numPr>
              <w:overflowPunct w:val="0"/>
              <w:autoSpaceDE w:val="0"/>
              <w:autoSpaceDN w:val="0"/>
              <w:adjustRightInd w:val="0"/>
              <w:spacing w:before="120"/>
              <w:jc w:val="both"/>
              <w:textAlignment w:val="baseline"/>
              <w:rPr>
                <w:rFonts w:cs="Gautami"/>
                <w:szCs w:val="20"/>
              </w:rPr>
            </w:pPr>
            <w:r w:rsidRPr="005A7C16">
              <w:rPr>
                <w:rFonts w:cs="Gautami"/>
                <w:szCs w:val="20"/>
              </w:rPr>
              <w:t>Woensdagnamiddag</w:t>
            </w:r>
          </w:p>
        </w:tc>
        <w:tc>
          <w:tcPr>
            <w:tcW w:w="2693" w:type="dxa"/>
            <w:tcBorders>
              <w:bottom w:val="single" w:sz="4" w:space="0" w:color="auto"/>
              <w:right w:val="single" w:sz="4" w:space="0" w:color="auto"/>
            </w:tcBorders>
          </w:tcPr>
          <w:p w:rsidR="001C359F" w:rsidRPr="005A7C16" w:rsidRDefault="001C359F" w:rsidP="006657D2">
            <w:pPr>
              <w:numPr>
                <w:ilvl w:val="5"/>
                <w:numId w:val="0"/>
              </w:numPr>
              <w:overflowPunct w:val="0"/>
              <w:autoSpaceDE w:val="0"/>
              <w:autoSpaceDN w:val="0"/>
              <w:adjustRightInd w:val="0"/>
              <w:spacing w:before="120"/>
              <w:jc w:val="both"/>
              <w:textAlignment w:val="baseline"/>
              <w:rPr>
                <w:rFonts w:cs="Gautami"/>
                <w:szCs w:val="20"/>
              </w:rPr>
            </w:pPr>
            <w:r w:rsidRPr="005A7C16">
              <w:rPr>
                <w:rFonts w:cs="Gautami"/>
                <w:szCs w:val="20"/>
              </w:rPr>
              <w:t>Voordeligste tarief (per begonnen half uur of tarief schoolvakanties)</w:t>
            </w:r>
          </w:p>
        </w:tc>
        <w:tc>
          <w:tcPr>
            <w:tcW w:w="3685" w:type="dxa"/>
            <w:vMerge/>
          </w:tcPr>
          <w:p w:rsidR="001C359F" w:rsidRPr="005A7C16" w:rsidRDefault="001C359F" w:rsidP="006657D2">
            <w:pPr>
              <w:numPr>
                <w:ilvl w:val="5"/>
                <w:numId w:val="0"/>
              </w:numPr>
              <w:overflowPunct w:val="0"/>
              <w:autoSpaceDE w:val="0"/>
              <w:autoSpaceDN w:val="0"/>
              <w:adjustRightInd w:val="0"/>
              <w:spacing w:before="120"/>
              <w:jc w:val="both"/>
              <w:textAlignment w:val="baseline"/>
              <w:rPr>
                <w:rFonts w:cs="Gautami"/>
                <w:szCs w:val="20"/>
              </w:rPr>
            </w:pPr>
          </w:p>
        </w:tc>
      </w:tr>
      <w:tr w:rsidR="001C359F" w:rsidRPr="005A7C16" w:rsidTr="006657D2">
        <w:trPr>
          <w:trHeight w:val="387"/>
        </w:trPr>
        <w:tc>
          <w:tcPr>
            <w:tcW w:w="2694" w:type="dxa"/>
            <w:vMerge w:val="restart"/>
            <w:tcBorders>
              <w:top w:val="single" w:sz="4" w:space="0" w:color="auto"/>
              <w:left w:val="single" w:sz="4" w:space="0" w:color="auto"/>
              <w:bottom w:val="nil"/>
              <w:right w:val="single" w:sz="4" w:space="0" w:color="auto"/>
            </w:tcBorders>
          </w:tcPr>
          <w:p w:rsidR="001C359F" w:rsidRPr="005A7C16" w:rsidRDefault="001C359F" w:rsidP="006657D2">
            <w:pPr>
              <w:numPr>
                <w:ilvl w:val="5"/>
                <w:numId w:val="0"/>
              </w:numPr>
              <w:overflowPunct w:val="0"/>
              <w:autoSpaceDE w:val="0"/>
              <w:autoSpaceDN w:val="0"/>
              <w:adjustRightInd w:val="0"/>
              <w:spacing w:before="120"/>
              <w:jc w:val="both"/>
              <w:textAlignment w:val="baseline"/>
              <w:rPr>
                <w:rFonts w:cs="Gautami"/>
                <w:szCs w:val="20"/>
              </w:rPr>
            </w:pPr>
            <w:r w:rsidRPr="005A7C16">
              <w:rPr>
                <w:rFonts w:cs="Gautami"/>
                <w:szCs w:val="20"/>
              </w:rPr>
              <w:t>Schoolvakanties</w:t>
            </w:r>
          </w:p>
          <w:p w:rsidR="001C359F" w:rsidRPr="005A7C16" w:rsidRDefault="001C359F" w:rsidP="001C359F">
            <w:pPr>
              <w:numPr>
                <w:ilvl w:val="0"/>
                <w:numId w:val="1"/>
              </w:numPr>
              <w:overflowPunct w:val="0"/>
              <w:autoSpaceDE w:val="0"/>
              <w:autoSpaceDN w:val="0"/>
              <w:adjustRightInd w:val="0"/>
              <w:spacing w:before="120"/>
              <w:jc w:val="both"/>
              <w:textAlignment w:val="baseline"/>
              <w:rPr>
                <w:rFonts w:cs="Gautami"/>
                <w:szCs w:val="20"/>
              </w:rPr>
            </w:pPr>
            <w:r w:rsidRPr="005A7C16">
              <w:rPr>
                <w:rFonts w:cs="Gautami"/>
                <w:szCs w:val="20"/>
              </w:rPr>
              <w:t>Hele dag (langer dan 6 uur)</w:t>
            </w:r>
          </w:p>
          <w:p w:rsidR="001C359F" w:rsidRPr="005A7C16" w:rsidRDefault="001C359F" w:rsidP="001C359F">
            <w:pPr>
              <w:numPr>
                <w:ilvl w:val="0"/>
                <w:numId w:val="1"/>
              </w:numPr>
              <w:overflowPunct w:val="0"/>
              <w:autoSpaceDE w:val="0"/>
              <w:autoSpaceDN w:val="0"/>
              <w:adjustRightInd w:val="0"/>
              <w:spacing w:before="120"/>
              <w:jc w:val="both"/>
              <w:textAlignment w:val="baseline"/>
              <w:rPr>
                <w:rFonts w:cs="Gautami"/>
                <w:szCs w:val="20"/>
              </w:rPr>
            </w:pPr>
            <w:r w:rsidRPr="005A7C16">
              <w:rPr>
                <w:rFonts w:cs="Gautami"/>
                <w:szCs w:val="20"/>
              </w:rPr>
              <w:t>Halve dag ( ts 3 en 6 uur)</w:t>
            </w:r>
          </w:p>
          <w:p w:rsidR="001C359F" w:rsidRPr="005A7C16" w:rsidRDefault="001C359F" w:rsidP="001C359F">
            <w:pPr>
              <w:numPr>
                <w:ilvl w:val="0"/>
                <w:numId w:val="1"/>
              </w:numPr>
              <w:overflowPunct w:val="0"/>
              <w:autoSpaceDE w:val="0"/>
              <w:autoSpaceDN w:val="0"/>
              <w:adjustRightInd w:val="0"/>
              <w:spacing w:before="120"/>
              <w:jc w:val="both"/>
              <w:textAlignment w:val="baseline"/>
              <w:rPr>
                <w:rFonts w:cs="Gautami"/>
                <w:szCs w:val="20"/>
              </w:rPr>
            </w:pPr>
            <w:r w:rsidRPr="005A7C16">
              <w:rPr>
                <w:rFonts w:cs="Gautami"/>
                <w:szCs w:val="20"/>
              </w:rPr>
              <w:t>Minder dan 3 uur</w:t>
            </w:r>
          </w:p>
        </w:tc>
        <w:tc>
          <w:tcPr>
            <w:tcW w:w="2693" w:type="dxa"/>
            <w:vMerge w:val="restart"/>
            <w:tcBorders>
              <w:left w:val="nil"/>
              <w:bottom w:val="nil"/>
              <w:right w:val="single" w:sz="4" w:space="0" w:color="auto"/>
            </w:tcBorders>
          </w:tcPr>
          <w:p w:rsidR="001C359F" w:rsidRPr="005A7C16" w:rsidRDefault="001C359F" w:rsidP="006657D2">
            <w:pPr>
              <w:numPr>
                <w:ilvl w:val="5"/>
                <w:numId w:val="0"/>
              </w:numPr>
              <w:overflowPunct w:val="0"/>
              <w:autoSpaceDE w:val="0"/>
              <w:autoSpaceDN w:val="0"/>
              <w:adjustRightInd w:val="0"/>
              <w:spacing w:before="120"/>
              <w:ind w:left="497"/>
              <w:jc w:val="both"/>
              <w:textAlignment w:val="baseline"/>
              <w:rPr>
                <w:rFonts w:cs="Gautami"/>
                <w:szCs w:val="20"/>
              </w:rPr>
            </w:pPr>
            <w:r w:rsidRPr="005A7C16">
              <w:rPr>
                <w:rFonts w:cs="Gautami"/>
                <w:szCs w:val="20"/>
              </w:rPr>
              <w:t xml:space="preserve"> </w:t>
            </w:r>
          </w:p>
          <w:p w:rsidR="001C359F" w:rsidRPr="005A7C16" w:rsidRDefault="001C359F" w:rsidP="006657D2">
            <w:pPr>
              <w:numPr>
                <w:ilvl w:val="5"/>
                <w:numId w:val="0"/>
              </w:numPr>
              <w:overflowPunct w:val="0"/>
              <w:autoSpaceDE w:val="0"/>
              <w:autoSpaceDN w:val="0"/>
              <w:adjustRightInd w:val="0"/>
              <w:spacing w:before="120"/>
              <w:ind w:left="497"/>
              <w:jc w:val="both"/>
              <w:textAlignment w:val="baseline"/>
              <w:rPr>
                <w:rFonts w:cs="Gautami"/>
                <w:szCs w:val="20"/>
              </w:rPr>
            </w:pPr>
            <w:r w:rsidRPr="005A7C16">
              <w:rPr>
                <w:rFonts w:cs="Gautami"/>
                <w:szCs w:val="20"/>
              </w:rPr>
              <w:t xml:space="preserve">12 euro </w:t>
            </w:r>
          </w:p>
          <w:p w:rsidR="001C359F" w:rsidRPr="005A7C16" w:rsidRDefault="001C359F" w:rsidP="006657D2">
            <w:pPr>
              <w:numPr>
                <w:ilvl w:val="5"/>
                <w:numId w:val="0"/>
              </w:numPr>
              <w:tabs>
                <w:tab w:val="right" w:pos="355"/>
              </w:tabs>
              <w:overflowPunct w:val="0"/>
              <w:autoSpaceDE w:val="0"/>
              <w:autoSpaceDN w:val="0"/>
              <w:adjustRightInd w:val="0"/>
              <w:spacing w:before="120"/>
              <w:ind w:left="497"/>
              <w:jc w:val="both"/>
              <w:textAlignment w:val="baseline"/>
              <w:rPr>
                <w:rFonts w:cs="Gautami"/>
                <w:szCs w:val="20"/>
              </w:rPr>
            </w:pPr>
            <w:r w:rsidRPr="005A7C16">
              <w:rPr>
                <w:rFonts w:cs="Gautami"/>
                <w:szCs w:val="20"/>
              </w:rPr>
              <w:t>7 euro</w:t>
            </w:r>
          </w:p>
          <w:p w:rsidR="001C359F" w:rsidRPr="005A7C16" w:rsidRDefault="001C359F" w:rsidP="006657D2">
            <w:pPr>
              <w:numPr>
                <w:ilvl w:val="5"/>
                <w:numId w:val="0"/>
              </w:numPr>
              <w:tabs>
                <w:tab w:val="right" w:pos="355"/>
              </w:tabs>
              <w:overflowPunct w:val="0"/>
              <w:autoSpaceDE w:val="0"/>
              <w:autoSpaceDN w:val="0"/>
              <w:adjustRightInd w:val="0"/>
              <w:spacing w:before="120"/>
              <w:ind w:left="497"/>
              <w:jc w:val="both"/>
              <w:textAlignment w:val="baseline"/>
              <w:rPr>
                <w:rFonts w:cs="Gautami"/>
                <w:szCs w:val="20"/>
              </w:rPr>
            </w:pPr>
            <w:r w:rsidRPr="005A7C16">
              <w:rPr>
                <w:rFonts w:cs="Gautami"/>
                <w:szCs w:val="20"/>
              </w:rPr>
              <w:t>4,50 euro</w:t>
            </w:r>
          </w:p>
        </w:tc>
        <w:tc>
          <w:tcPr>
            <w:tcW w:w="3685" w:type="dxa"/>
            <w:vMerge/>
            <w:tcBorders>
              <w:bottom w:val="nil"/>
            </w:tcBorders>
          </w:tcPr>
          <w:p w:rsidR="001C359F" w:rsidRPr="005A7C16" w:rsidRDefault="001C359F" w:rsidP="006657D2">
            <w:pPr>
              <w:numPr>
                <w:ilvl w:val="5"/>
                <w:numId w:val="0"/>
              </w:numPr>
              <w:overflowPunct w:val="0"/>
              <w:autoSpaceDE w:val="0"/>
              <w:autoSpaceDN w:val="0"/>
              <w:adjustRightInd w:val="0"/>
              <w:spacing w:before="120"/>
              <w:jc w:val="both"/>
              <w:textAlignment w:val="baseline"/>
              <w:rPr>
                <w:rFonts w:cs="Gautami"/>
                <w:szCs w:val="20"/>
              </w:rPr>
            </w:pPr>
          </w:p>
        </w:tc>
      </w:tr>
      <w:tr w:rsidR="001C359F" w:rsidRPr="005A7C16" w:rsidTr="006657D2">
        <w:tc>
          <w:tcPr>
            <w:tcW w:w="2694" w:type="dxa"/>
            <w:vMerge/>
            <w:tcBorders>
              <w:left w:val="single" w:sz="4" w:space="0" w:color="auto"/>
              <w:bottom w:val="single" w:sz="4" w:space="0" w:color="auto"/>
              <w:right w:val="single" w:sz="4" w:space="0" w:color="auto"/>
            </w:tcBorders>
          </w:tcPr>
          <w:p w:rsidR="001C359F" w:rsidRPr="005A7C16" w:rsidRDefault="001C359F" w:rsidP="006657D2">
            <w:pPr>
              <w:overflowPunct w:val="0"/>
              <w:autoSpaceDE w:val="0"/>
              <w:autoSpaceDN w:val="0"/>
              <w:adjustRightInd w:val="0"/>
              <w:spacing w:before="120"/>
              <w:jc w:val="both"/>
              <w:textAlignment w:val="baseline"/>
              <w:rPr>
                <w:rFonts w:cs="Gautami"/>
                <w:szCs w:val="20"/>
              </w:rPr>
            </w:pPr>
          </w:p>
        </w:tc>
        <w:tc>
          <w:tcPr>
            <w:tcW w:w="2693" w:type="dxa"/>
            <w:vMerge/>
            <w:tcBorders>
              <w:left w:val="nil"/>
              <w:right w:val="single" w:sz="4" w:space="0" w:color="auto"/>
            </w:tcBorders>
          </w:tcPr>
          <w:p w:rsidR="001C359F" w:rsidRPr="005A7C16" w:rsidRDefault="001C359F" w:rsidP="006657D2">
            <w:pPr>
              <w:numPr>
                <w:ilvl w:val="5"/>
                <w:numId w:val="0"/>
              </w:numPr>
              <w:tabs>
                <w:tab w:val="right" w:pos="355"/>
              </w:tabs>
              <w:overflowPunct w:val="0"/>
              <w:autoSpaceDE w:val="0"/>
              <w:autoSpaceDN w:val="0"/>
              <w:adjustRightInd w:val="0"/>
              <w:spacing w:before="120"/>
              <w:ind w:left="497"/>
              <w:jc w:val="both"/>
              <w:textAlignment w:val="baseline"/>
              <w:rPr>
                <w:rFonts w:cs="Gautami"/>
                <w:szCs w:val="20"/>
              </w:rPr>
            </w:pPr>
          </w:p>
        </w:tc>
        <w:tc>
          <w:tcPr>
            <w:tcW w:w="3685" w:type="dxa"/>
          </w:tcPr>
          <w:p w:rsidR="001C359F" w:rsidRPr="005A7C16" w:rsidRDefault="001C359F" w:rsidP="006657D2">
            <w:pPr>
              <w:numPr>
                <w:ilvl w:val="5"/>
                <w:numId w:val="0"/>
              </w:numPr>
              <w:overflowPunct w:val="0"/>
              <w:autoSpaceDE w:val="0"/>
              <w:autoSpaceDN w:val="0"/>
              <w:adjustRightInd w:val="0"/>
              <w:spacing w:before="120"/>
              <w:jc w:val="both"/>
              <w:textAlignment w:val="baseline"/>
              <w:rPr>
                <w:rFonts w:cs="Gautami"/>
                <w:szCs w:val="20"/>
              </w:rPr>
            </w:pPr>
          </w:p>
        </w:tc>
      </w:tr>
    </w:tbl>
    <w:p w:rsidR="001C359F" w:rsidRPr="005A7C16" w:rsidRDefault="001C359F" w:rsidP="001C359F">
      <w:pPr>
        <w:keepNext/>
        <w:numPr>
          <w:ilvl w:val="1"/>
          <w:numId w:val="0"/>
        </w:numPr>
        <w:tabs>
          <w:tab w:val="num" w:pos="851"/>
        </w:tabs>
        <w:overflowPunct w:val="0"/>
        <w:autoSpaceDE w:val="0"/>
        <w:autoSpaceDN w:val="0"/>
        <w:adjustRightInd w:val="0"/>
        <w:spacing w:before="360" w:after="120"/>
        <w:jc w:val="both"/>
        <w:textAlignment w:val="baseline"/>
        <w:outlineLvl w:val="4"/>
        <w:rPr>
          <w:rFonts w:cs="Gautami"/>
          <w:bCs/>
        </w:rPr>
      </w:pPr>
      <w:r w:rsidRPr="005A7C16">
        <w:rPr>
          <w:rFonts w:cs="Gautami"/>
          <w:bCs/>
        </w:rPr>
        <w:t>Deze tarieven worden jaarlijks geïndexeerd met toepassing van het afrondingsprincipe. De basistarieven zijn verbonden aan het gezondheidsindexcijfer van december 2013 (= aanvangsindex) en worden jaarlijks aangepast aan het gezondheidsindexcijfer van de maand december ervoor (= nieuwe index), volgens volgende formule:</w:t>
      </w:r>
    </w:p>
    <w:p w:rsidR="001C359F" w:rsidRPr="005A7C16" w:rsidRDefault="001C359F" w:rsidP="001C359F">
      <w:pPr>
        <w:keepNext/>
        <w:numPr>
          <w:ilvl w:val="1"/>
          <w:numId w:val="0"/>
        </w:numPr>
        <w:tabs>
          <w:tab w:val="num" w:pos="851"/>
        </w:tabs>
        <w:overflowPunct w:val="0"/>
        <w:autoSpaceDE w:val="0"/>
        <w:autoSpaceDN w:val="0"/>
        <w:adjustRightInd w:val="0"/>
        <w:spacing w:before="360" w:after="120"/>
        <w:jc w:val="both"/>
        <w:textAlignment w:val="baseline"/>
        <w:outlineLvl w:val="4"/>
        <w:rPr>
          <w:rFonts w:cs="Gautami"/>
          <w:bCs/>
        </w:rPr>
      </w:pPr>
      <w:r w:rsidRPr="005A7C16">
        <w:rPr>
          <w:rFonts w:cs="Gautami"/>
          <w:bCs/>
          <w:u w:val="single"/>
        </w:rPr>
        <w:t>Basisbedrag x nieuwe index</w:t>
      </w:r>
      <w:r w:rsidRPr="005A7C16">
        <w:rPr>
          <w:rFonts w:cs="Gautami"/>
          <w:bCs/>
        </w:rPr>
        <w:t xml:space="preserve"> = nieuw bedrag</w:t>
      </w:r>
    </w:p>
    <w:p w:rsidR="001C359F" w:rsidRPr="005A7C16" w:rsidRDefault="001C359F" w:rsidP="001C359F">
      <w:pPr>
        <w:keepNext/>
        <w:numPr>
          <w:ilvl w:val="1"/>
          <w:numId w:val="0"/>
        </w:numPr>
        <w:tabs>
          <w:tab w:val="num" w:pos="851"/>
        </w:tabs>
        <w:overflowPunct w:val="0"/>
        <w:autoSpaceDE w:val="0"/>
        <w:autoSpaceDN w:val="0"/>
        <w:adjustRightInd w:val="0"/>
        <w:jc w:val="both"/>
        <w:textAlignment w:val="baseline"/>
        <w:outlineLvl w:val="4"/>
        <w:rPr>
          <w:rFonts w:cs="Gautami"/>
          <w:bCs/>
        </w:rPr>
      </w:pPr>
      <w:r w:rsidRPr="005A7C16">
        <w:rPr>
          <w:rFonts w:cs="Gautami"/>
          <w:bCs/>
        </w:rPr>
        <w:t>Aanvangsindex</w:t>
      </w:r>
    </w:p>
    <w:p w:rsidR="001C359F" w:rsidRPr="005A7C16" w:rsidRDefault="001C359F" w:rsidP="001C359F">
      <w:pPr>
        <w:keepNext/>
        <w:numPr>
          <w:ilvl w:val="1"/>
          <w:numId w:val="0"/>
        </w:numPr>
        <w:tabs>
          <w:tab w:val="num" w:pos="851"/>
        </w:tabs>
        <w:overflowPunct w:val="0"/>
        <w:autoSpaceDE w:val="0"/>
        <w:autoSpaceDN w:val="0"/>
        <w:adjustRightInd w:val="0"/>
        <w:jc w:val="both"/>
        <w:textAlignment w:val="baseline"/>
        <w:outlineLvl w:val="4"/>
        <w:rPr>
          <w:rFonts w:cs="Gautami"/>
          <w:bCs/>
        </w:rPr>
      </w:pPr>
    </w:p>
    <w:p w:rsidR="001C359F" w:rsidRPr="005A7C16" w:rsidRDefault="001C359F" w:rsidP="001C359F">
      <w:pPr>
        <w:keepNext/>
        <w:numPr>
          <w:ilvl w:val="1"/>
          <w:numId w:val="0"/>
        </w:numPr>
        <w:tabs>
          <w:tab w:val="num" w:pos="851"/>
        </w:tabs>
        <w:overflowPunct w:val="0"/>
        <w:autoSpaceDE w:val="0"/>
        <w:autoSpaceDN w:val="0"/>
        <w:adjustRightInd w:val="0"/>
        <w:jc w:val="both"/>
        <w:textAlignment w:val="baseline"/>
        <w:outlineLvl w:val="4"/>
        <w:rPr>
          <w:rFonts w:cs="Gautami"/>
          <w:bCs/>
        </w:rPr>
      </w:pPr>
      <w:r w:rsidRPr="005A7C16">
        <w:rPr>
          <w:rFonts w:cs="Gautami"/>
          <w:bCs/>
        </w:rPr>
        <w:t>(eerste maal vast te stellen met ingang van 1 januari 2015) .</w:t>
      </w:r>
    </w:p>
    <w:p w:rsidR="001C359F" w:rsidRPr="005A7C16" w:rsidRDefault="001C359F" w:rsidP="001C359F">
      <w:pPr>
        <w:keepNext/>
        <w:numPr>
          <w:ilvl w:val="1"/>
          <w:numId w:val="0"/>
        </w:numPr>
        <w:tabs>
          <w:tab w:val="num" w:pos="851"/>
        </w:tabs>
        <w:overflowPunct w:val="0"/>
        <w:autoSpaceDE w:val="0"/>
        <w:autoSpaceDN w:val="0"/>
        <w:adjustRightInd w:val="0"/>
        <w:jc w:val="both"/>
        <w:textAlignment w:val="baseline"/>
        <w:outlineLvl w:val="4"/>
        <w:rPr>
          <w:rFonts w:cs="Gautami"/>
          <w:bCs/>
        </w:rPr>
      </w:pPr>
    </w:p>
    <w:p w:rsidR="001C359F" w:rsidRPr="005A7C16" w:rsidRDefault="001C359F" w:rsidP="001C359F">
      <w:pPr>
        <w:keepNext/>
        <w:numPr>
          <w:ilvl w:val="1"/>
          <w:numId w:val="0"/>
        </w:numPr>
        <w:tabs>
          <w:tab w:val="num" w:pos="851"/>
        </w:tabs>
        <w:overflowPunct w:val="0"/>
        <w:autoSpaceDE w:val="0"/>
        <w:autoSpaceDN w:val="0"/>
        <w:adjustRightInd w:val="0"/>
        <w:jc w:val="both"/>
        <w:textAlignment w:val="baseline"/>
        <w:outlineLvl w:val="4"/>
        <w:rPr>
          <w:rFonts w:cs="Gautami"/>
          <w:bCs/>
        </w:rPr>
      </w:pPr>
      <w:r w:rsidRPr="005A7C16">
        <w:rPr>
          <w:rFonts w:cs="Gautami"/>
          <w:bCs/>
        </w:rPr>
        <w:t>De tarieven mogen echter nooit de maximale tarieven zoals bepaald door Kind en Gezin overschrijden.</w:t>
      </w:r>
    </w:p>
    <w:p w:rsidR="001C359F" w:rsidRPr="005A7C16" w:rsidRDefault="001C359F" w:rsidP="001C359F">
      <w:pPr>
        <w:keepNext/>
        <w:numPr>
          <w:ilvl w:val="1"/>
          <w:numId w:val="0"/>
        </w:numPr>
        <w:tabs>
          <w:tab w:val="num" w:pos="851"/>
        </w:tabs>
        <w:overflowPunct w:val="0"/>
        <w:autoSpaceDE w:val="0"/>
        <w:autoSpaceDN w:val="0"/>
        <w:adjustRightInd w:val="0"/>
        <w:spacing w:before="360" w:after="120"/>
        <w:ind w:left="851" w:hanging="851"/>
        <w:jc w:val="both"/>
        <w:textAlignment w:val="baseline"/>
        <w:outlineLvl w:val="4"/>
        <w:rPr>
          <w:rFonts w:cs="Gautami"/>
          <w:bCs/>
        </w:rPr>
      </w:pPr>
      <w:r w:rsidRPr="005A7C16">
        <w:rPr>
          <w:rFonts w:cs="Gautami"/>
          <w:bCs/>
        </w:rPr>
        <w:t>2.2 Sociaal tarief</w:t>
      </w:r>
    </w:p>
    <w:p w:rsidR="001C359F" w:rsidRPr="005A7C16" w:rsidRDefault="001C359F" w:rsidP="001C359F">
      <w:pPr>
        <w:numPr>
          <w:ilvl w:val="5"/>
          <w:numId w:val="0"/>
        </w:numPr>
        <w:overflowPunct w:val="0"/>
        <w:autoSpaceDE w:val="0"/>
        <w:autoSpaceDN w:val="0"/>
        <w:adjustRightInd w:val="0"/>
        <w:spacing w:before="120"/>
        <w:jc w:val="both"/>
        <w:textAlignment w:val="baseline"/>
        <w:rPr>
          <w:rFonts w:cs="Gautami"/>
        </w:rPr>
      </w:pPr>
      <w:r w:rsidRPr="005A7C16">
        <w:rPr>
          <w:rFonts w:cs="Gautami"/>
        </w:rPr>
        <w:t>Gezinnen die recht hebben op een verhoogde tegemoetkoming van de ziekteverzekering op basis van hun bruto belastbaar inkomen, kunnen een aanvraag doen voor het sociaal tarief.</w:t>
      </w:r>
    </w:p>
    <w:p w:rsidR="001C359F" w:rsidRPr="005A7C16" w:rsidRDefault="001C359F" w:rsidP="001C359F">
      <w:pPr>
        <w:numPr>
          <w:ilvl w:val="5"/>
          <w:numId w:val="0"/>
        </w:numPr>
        <w:overflowPunct w:val="0"/>
        <w:autoSpaceDE w:val="0"/>
        <w:autoSpaceDN w:val="0"/>
        <w:adjustRightInd w:val="0"/>
        <w:spacing w:before="120"/>
        <w:jc w:val="both"/>
        <w:textAlignment w:val="baseline"/>
        <w:rPr>
          <w:rFonts w:cs="Gautami"/>
        </w:rPr>
      </w:pPr>
      <w:r w:rsidRPr="005A7C16">
        <w:rPr>
          <w:rFonts w:cs="Gautami"/>
        </w:rPr>
        <w:t>Dit sociaal tarief bedraagt 50% van de financiële bijdrage van de gezinnen.   Bij gelijktijdige opvang van kinderen uit hetzelfde gezin wordt ook op dit sociaal tarief een korting van 25% verleend.</w:t>
      </w:r>
    </w:p>
    <w:p w:rsidR="001C359F" w:rsidRPr="005A7C16" w:rsidRDefault="001C359F" w:rsidP="001C359F">
      <w:pPr>
        <w:numPr>
          <w:ilvl w:val="5"/>
          <w:numId w:val="0"/>
        </w:numPr>
        <w:overflowPunct w:val="0"/>
        <w:autoSpaceDE w:val="0"/>
        <w:autoSpaceDN w:val="0"/>
        <w:adjustRightInd w:val="0"/>
        <w:spacing w:before="120"/>
        <w:jc w:val="both"/>
        <w:textAlignment w:val="baseline"/>
        <w:rPr>
          <w:rFonts w:cs="Gautami"/>
        </w:rPr>
      </w:pPr>
      <w:r w:rsidRPr="005A7C16">
        <w:rPr>
          <w:rFonts w:cs="Gautami"/>
        </w:rPr>
        <w:t>De nodige bewijsstukken worden bezorgd aan de coördinator.  Deze bewijsstukken dienen jaarlijks binnengebracht en herzien te worden. De dossiers in kwestie kunnen worden ingekeken en beoordeeld door Kind en Gezin.</w:t>
      </w:r>
    </w:p>
    <w:p w:rsidR="001C359F" w:rsidRPr="005A7C16" w:rsidRDefault="001C359F" w:rsidP="001C359F">
      <w:pPr>
        <w:keepNext/>
        <w:numPr>
          <w:ilvl w:val="1"/>
          <w:numId w:val="0"/>
        </w:numPr>
        <w:tabs>
          <w:tab w:val="num" w:pos="851"/>
        </w:tabs>
        <w:overflowPunct w:val="0"/>
        <w:autoSpaceDE w:val="0"/>
        <w:autoSpaceDN w:val="0"/>
        <w:adjustRightInd w:val="0"/>
        <w:spacing w:before="360" w:after="120"/>
        <w:ind w:left="851" w:hanging="851"/>
        <w:jc w:val="both"/>
        <w:textAlignment w:val="baseline"/>
        <w:outlineLvl w:val="4"/>
        <w:rPr>
          <w:rFonts w:cs="Gautami"/>
          <w:bCs/>
        </w:rPr>
      </w:pPr>
      <w:r w:rsidRPr="005A7C16">
        <w:rPr>
          <w:rFonts w:cs="Gautami"/>
          <w:bCs/>
        </w:rPr>
        <w:lastRenderedPageBreak/>
        <w:t>2.3 Gratis tarief</w:t>
      </w:r>
    </w:p>
    <w:p w:rsidR="001C359F" w:rsidRPr="005A7C16" w:rsidRDefault="001C359F" w:rsidP="001C359F">
      <w:pPr>
        <w:numPr>
          <w:ilvl w:val="5"/>
          <w:numId w:val="0"/>
        </w:numPr>
        <w:overflowPunct w:val="0"/>
        <w:autoSpaceDE w:val="0"/>
        <w:autoSpaceDN w:val="0"/>
        <w:adjustRightInd w:val="0"/>
        <w:spacing w:before="120"/>
        <w:jc w:val="both"/>
        <w:textAlignment w:val="baseline"/>
        <w:rPr>
          <w:rFonts w:cs="Gautami"/>
        </w:rPr>
      </w:pPr>
      <w:r w:rsidRPr="005A7C16">
        <w:rPr>
          <w:rFonts w:cs="Gautami"/>
        </w:rPr>
        <w:t>In uitzonderlijke gevallen, kan het organiserend bestuur gratis opvang toestaan.  Het bestuur beslist hierover op basis van een individueel administratief dossier dat alle relevante aspecten voor een gemotiveerde beslissing bevat.</w:t>
      </w:r>
    </w:p>
    <w:p w:rsidR="001C359F" w:rsidRPr="005A7C16" w:rsidRDefault="001C359F" w:rsidP="001C359F">
      <w:pPr>
        <w:keepNext/>
        <w:numPr>
          <w:ilvl w:val="1"/>
          <w:numId w:val="0"/>
        </w:numPr>
        <w:tabs>
          <w:tab w:val="num" w:pos="851"/>
        </w:tabs>
        <w:overflowPunct w:val="0"/>
        <w:autoSpaceDE w:val="0"/>
        <w:autoSpaceDN w:val="0"/>
        <w:adjustRightInd w:val="0"/>
        <w:spacing w:before="360" w:after="120"/>
        <w:ind w:left="851" w:hanging="851"/>
        <w:jc w:val="both"/>
        <w:textAlignment w:val="baseline"/>
        <w:outlineLvl w:val="4"/>
        <w:rPr>
          <w:rFonts w:cs="Gautami"/>
          <w:bCs/>
        </w:rPr>
      </w:pPr>
      <w:r w:rsidRPr="005A7C16">
        <w:rPr>
          <w:rFonts w:cs="Gautami"/>
          <w:bCs/>
        </w:rPr>
        <w:t>2.4. Bijkomende retributie</w:t>
      </w:r>
    </w:p>
    <w:p w:rsidR="001C359F" w:rsidRPr="005A7C16" w:rsidRDefault="001C359F" w:rsidP="001C359F">
      <w:pPr>
        <w:keepNext/>
        <w:numPr>
          <w:ilvl w:val="1"/>
          <w:numId w:val="0"/>
        </w:numPr>
        <w:tabs>
          <w:tab w:val="num" w:pos="851"/>
        </w:tabs>
        <w:overflowPunct w:val="0"/>
        <w:autoSpaceDE w:val="0"/>
        <w:autoSpaceDN w:val="0"/>
        <w:adjustRightInd w:val="0"/>
        <w:spacing w:before="360" w:after="120"/>
        <w:jc w:val="both"/>
        <w:textAlignment w:val="baseline"/>
        <w:outlineLvl w:val="4"/>
        <w:rPr>
          <w:rFonts w:cs="Gautami"/>
          <w:bCs/>
        </w:rPr>
      </w:pPr>
      <w:r w:rsidRPr="005A7C16">
        <w:rPr>
          <w:rFonts w:cs="Gautami"/>
          <w:bCs/>
        </w:rPr>
        <w:t>Voor de opvang van kinderen na de reguliere openingsuren, wordt een bijkomende retributie gevraagd van 7 euro.</w:t>
      </w:r>
    </w:p>
    <w:p w:rsidR="001C359F" w:rsidRPr="005A7C16" w:rsidRDefault="001C359F" w:rsidP="001C359F"/>
    <w:p w:rsidR="001C359F" w:rsidRPr="005A7C16" w:rsidRDefault="001C359F" w:rsidP="001C359F">
      <w:r w:rsidRPr="005A7C16">
        <w:t>2.5. Reservaties</w:t>
      </w:r>
    </w:p>
    <w:p w:rsidR="001C359F" w:rsidRPr="005A7C16" w:rsidRDefault="001C359F" w:rsidP="001C359F"/>
    <w:p w:rsidR="001C359F" w:rsidRPr="005A7C16" w:rsidRDefault="001C359F" w:rsidP="001C359F">
      <w:r w:rsidRPr="005A7C16">
        <w:t>Alle reservaties worden aangerekend tenzij de ouder schriftelijk annuleert mits  voorlegging van een doktersattest.</w:t>
      </w:r>
    </w:p>
    <w:p w:rsidR="001C359F" w:rsidRPr="005A7C16" w:rsidRDefault="001C359F" w:rsidP="001C359F"/>
    <w:p w:rsidR="001C359F" w:rsidRPr="005A7C16" w:rsidRDefault="001C359F" w:rsidP="001C359F">
      <w:pPr>
        <w:rPr>
          <w:u w:val="single"/>
        </w:rPr>
      </w:pPr>
      <w:bookmarkStart w:id="1" w:name="_Toc352751078"/>
      <w:bookmarkStart w:id="2" w:name="_Toc280619171"/>
      <w:bookmarkStart w:id="3" w:name="_Toc279746727"/>
      <w:bookmarkStart w:id="4" w:name="_Toc279740194"/>
      <w:bookmarkStart w:id="5" w:name="_Toc279740101"/>
      <w:r w:rsidRPr="005A7C16">
        <w:rPr>
          <w:u w:val="single"/>
        </w:rPr>
        <w:t>Artikel 3</w:t>
      </w:r>
      <w:bookmarkEnd w:id="1"/>
      <w:bookmarkEnd w:id="2"/>
      <w:bookmarkEnd w:id="3"/>
      <w:bookmarkEnd w:id="4"/>
      <w:bookmarkEnd w:id="5"/>
    </w:p>
    <w:p w:rsidR="001C359F" w:rsidRPr="005A7C16" w:rsidRDefault="001C359F" w:rsidP="001C359F">
      <w:pPr>
        <w:tabs>
          <w:tab w:val="left" w:pos="260"/>
          <w:tab w:val="left" w:pos="487"/>
          <w:tab w:val="left" w:pos="1134"/>
          <w:tab w:val="left" w:pos="1360"/>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6"/>
          <w:tab w:val="left" w:pos="4762"/>
          <w:tab w:val="left" w:pos="4989"/>
          <w:tab w:val="left" w:pos="5216"/>
          <w:tab w:val="left" w:pos="5443"/>
          <w:tab w:val="left" w:pos="5670"/>
          <w:tab w:val="left" w:pos="5896"/>
          <w:tab w:val="left" w:pos="6123"/>
          <w:tab w:val="left" w:pos="6350"/>
          <w:tab w:val="left" w:pos="6577"/>
          <w:tab w:val="left" w:pos="6804"/>
          <w:tab w:val="left" w:pos="7030"/>
          <w:tab w:val="left" w:pos="7257"/>
          <w:tab w:val="left" w:pos="7484"/>
          <w:tab w:val="left" w:pos="7711"/>
          <w:tab w:val="left" w:pos="7938"/>
          <w:tab w:val="left" w:pos="8164"/>
          <w:tab w:val="left" w:pos="8391"/>
          <w:tab w:val="left" w:pos="8618"/>
          <w:tab w:val="left" w:pos="8845"/>
        </w:tabs>
        <w:suppressAutoHyphens/>
        <w:jc w:val="both"/>
        <w:rPr>
          <w:spacing w:val="-3"/>
        </w:rPr>
      </w:pPr>
      <w:r w:rsidRPr="005A7C16">
        <w:rPr>
          <w:spacing w:val="-3"/>
        </w:rPr>
        <w:t xml:space="preserve">Met het oog op de invordering van onbetwiste en opeisbare niet-fiscale schuldvorderingen kan de financieel beheerder een dwangbevel uitvaardigen. Een dergelijk dwangbevel wordt betekend bij deurwaardersexploot. Bij betwisting zal een burgerlijke rechtsvordering worden ingesteld. </w:t>
      </w:r>
      <w:r w:rsidRPr="005A7C16">
        <w:rPr>
          <w:bCs/>
        </w:rPr>
        <w:t>De retributie dient betaald te worden overeenkomstig de bepalingen van het huishoudelijk reglement.</w:t>
      </w:r>
    </w:p>
    <w:p w:rsidR="0005627A" w:rsidRDefault="0005627A"/>
    <w:sectPr w:rsidR="00056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67AC"/>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59F"/>
    <w:rsid w:val="0005627A"/>
    <w:rsid w:val="001C35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359F"/>
    <w:pPr>
      <w:spacing w:after="0" w:line="240" w:lineRule="auto"/>
    </w:pPr>
    <w:rPr>
      <w:rFonts w:eastAsia="Times New Roman" w:cs="Times New Roman"/>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359F"/>
    <w:pPr>
      <w:spacing w:after="0" w:line="240" w:lineRule="auto"/>
    </w:pPr>
    <w:rPr>
      <w:rFonts w:eastAsia="Times New Roman" w:cs="Times New Roman"/>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450</Words>
  <Characters>2480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Schroven</dc:creator>
  <cp:lastModifiedBy>Caroline Schroven</cp:lastModifiedBy>
  <cp:revision>1</cp:revision>
  <cp:lastPrinted>2014-03-27T12:03:00Z</cp:lastPrinted>
  <dcterms:created xsi:type="dcterms:W3CDTF">2014-03-27T12:02:00Z</dcterms:created>
  <dcterms:modified xsi:type="dcterms:W3CDTF">2014-03-27T12:10:00Z</dcterms:modified>
</cp:coreProperties>
</file>